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E0" w:rsidRPr="0018793E" w:rsidRDefault="0018793E" w:rsidP="0018793E">
      <w:pPr>
        <w:spacing w:after="0"/>
        <w:jc w:val="center"/>
        <w:rPr>
          <w:b/>
          <w:sz w:val="24"/>
          <w:szCs w:val="24"/>
        </w:rPr>
      </w:pPr>
      <w:r w:rsidRPr="0018793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-676275</wp:posOffset>
            </wp:positionV>
            <wp:extent cx="1042670" cy="1001395"/>
            <wp:effectExtent l="19050" t="0" r="5080" b="0"/>
            <wp:wrapNone/>
            <wp:docPr id="1" name="Picture 0" descr="CHS Blac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S Black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2B0A" w:rsidRPr="0018793E">
        <w:rPr>
          <w:b/>
          <w:sz w:val="24"/>
          <w:szCs w:val="24"/>
        </w:rPr>
        <w:t>Coffey Health System</w:t>
      </w:r>
    </w:p>
    <w:p w:rsidR="008D2B0A" w:rsidRPr="006C428F" w:rsidRDefault="0018793E" w:rsidP="0018793E">
      <w:pPr>
        <w:spacing w:after="0"/>
        <w:jc w:val="center"/>
        <w:rPr>
          <w:b/>
        </w:rPr>
      </w:pPr>
      <w:r>
        <w:rPr>
          <w:b/>
        </w:rPr>
        <w:t xml:space="preserve">Quality </w:t>
      </w:r>
      <w:r w:rsidR="008D2B0A" w:rsidRPr="006C428F">
        <w:rPr>
          <w:b/>
        </w:rPr>
        <w:t>Improvement</w:t>
      </w:r>
      <w:r>
        <w:rPr>
          <w:b/>
        </w:rPr>
        <w:t xml:space="preserve"> </w:t>
      </w:r>
      <w:r w:rsidR="00D40031">
        <w:rPr>
          <w:b/>
        </w:rPr>
        <w:t xml:space="preserve">Quick PIP </w:t>
      </w:r>
      <w:r>
        <w:rPr>
          <w:b/>
        </w:rPr>
        <w:t>Form</w:t>
      </w:r>
    </w:p>
    <w:tbl>
      <w:tblPr>
        <w:tblStyle w:val="TableGrid"/>
        <w:tblW w:w="10803" w:type="dxa"/>
        <w:jc w:val="center"/>
        <w:tblLook w:val="04A0"/>
      </w:tblPr>
      <w:tblGrid>
        <w:gridCol w:w="3602"/>
        <w:gridCol w:w="3600"/>
        <w:gridCol w:w="1800"/>
        <w:gridCol w:w="1801"/>
      </w:tblGrid>
      <w:tr w:rsidR="008D2B0A" w:rsidTr="008D2B0A">
        <w:trPr>
          <w:trHeight w:val="518"/>
          <w:jc w:val="center"/>
        </w:trPr>
        <w:tc>
          <w:tcPr>
            <w:tcW w:w="3602" w:type="dxa"/>
            <w:vAlign w:val="center"/>
          </w:tcPr>
          <w:p w:rsidR="008D2B0A" w:rsidRPr="00ED304E" w:rsidRDefault="008D2B0A" w:rsidP="007809A4">
            <w:pPr>
              <w:rPr>
                <w:rFonts w:ascii="Comic Sans MS" w:hAnsi="Comic Sans MS"/>
                <w:color w:val="0000FF"/>
              </w:rPr>
            </w:pPr>
            <w:r>
              <w:rPr>
                <w:b/>
              </w:rPr>
              <w:t>Department:</w:t>
            </w:r>
            <w:r w:rsidR="00ED304E">
              <w:rPr>
                <w:b/>
              </w:rPr>
              <w:t xml:space="preserve"> </w:t>
            </w:r>
            <w:r w:rsidR="007809A4">
              <w:rPr>
                <w:rFonts w:ascii="Comic Sans MS" w:hAnsi="Comic Sans MS"/>
                <w:color w:val="0000FF"/>
              </w:rPr>
              <w:t>OB</w:t>
            </w:r>
            <w:r w:rsidR="00ED304E">
              <w:rPr>
                <w:rFonts w:ascii="Comic Sans MS" w:hAnsi="Comic Sans MS"/>
                <w:color w:val="0000FF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8D2B0A" w:rsidRPr="00EC6816" w:rsidRDefault="008D2B0A" w:rsidP="007809A4">
            <w:pPr>
              <w:rPr>
                <w:rFonts w:ascii="Comic Sans MS" w:hAnsi="Comic Sans MS"/>
                <w:i/>
                <w:color w:val="0000FF"/>
              </w:rPr>
            </w:pPr>
            <w:r w:rsidRPr="008D2B0A">
              <w:rPr>
                <w:b/>
              </w:rPr>
              <w:t>Date:</w:t>
            </w:r>
            <w:r w:rsidR="00ED304E">
              <w:rPr>
                <w:b/>
              </w:rPr>
              <w:t xml:space="preserve"> </w:t>
            </w:r>
            <w:r w:rsidR="00EC6816">
              <w:rPr>
                <w:b/>
              </w:rPr>
              <w:t xml:space="preserve"> </w:t>
            </w:r>
            <w:r w:rsidR="007809A4">
              <w:rPr>
                <w:rFonts w:ascii="Comic Sans MS" w:hAnsi="Comic Sans MS"/>
                <w:color w:val="0000FF"/>
              </w:rPr>
              <w:t>11/2018</w:t>
            </w:r>
          </w:p>
        </w:tc>
        <w:tc>
          <w:tcPr>
            <w:tcW w:w="3601" w:type="dxa"/>
            <w:gridSpan w:val="2"/>
            <w:vAlign w:val="center"/>
          </w:tcPr>
          <w:p w:rsidR="008D2B0A" w:rsidRPr="008D2B0A" w:rsidRDefault="008D2B0A" w:rsidP="008D2B0A">
            <w:pPr>
              <w:rPr>
                <w:b/>
              </w:rPr>
            </w:pPr>
            <w:r w:rsidRPr="008D2B0A">
              <w:rPr>
                <w:b/>
              </w:rPr>
              <w:t>Location:</w:t>
            </w:r>
          </w:p>
        </w:tc>
      </w:tr>
      <w:tr w:rsidR="008D2B0A" w:rsidTr="008C2F3C">
        <w:trPr>
          <w:trHeight w:val="496"/>
          <w:jc w:val="center"/>
        </w:trPr>
        <w:tc>
          <w:tcPr>
            <w:tcW w:w="10803" w:type="dxa"/>
            <w:gridSpan w:val="4"/>
            <w:vAlign w:val="center"/>
          </w:tcPr>
          <w:p w:rsidR="006B7312" w:rsidRDefault="008D2B0A" w:rsidP="008D2B0A">
            <w:pPr>
              <w:rPr>
                <w:b/>
              </w:rPr>
            </w:pPr>
            <w:r w:rsidRPr="008D2B0A">
              <w:rPr>
                <w:b/>
              </w:rPr>
              <w:t xml:space="preserve">Identified Opportunity for PI: </w:t>
            </w:r>
          </w:p>
          <w:p w:rsidR="008D2B0A" w:rsidRPr="00476B30" w:rsidRDefault="007809A4" w:rsidP="008D2B0A">
            <w:pPr>
              <w:rPr>
                <w:rFonts w:ascii="Comic Sans MS" w:hAnsi="Comic Sans MS"/>
                <w:b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 xml:space="preserve">Several consent forms for newborn circumcisions have not been signed prior to procedure. This was identified and reported to the OB supervisor by HIM staff. </w:t>
            </w:r>
          </w:p>
          <w:p w:rsidR="006B7312" w:rsidRPr="006B7312" w:rsidRDefault="006B7312" w:rsidP="008D2B0A">
            <w:pPr>
              <w:rPr>
                <w:rFonts w:ascii="Comic Sans MS" w:hAnsi="Comic Sans MS"/>
                <w:color w:val="0000FF"/>
              </w:rPr>
            </w:pPr>
          </w:p>
        </w:tc>
      </w:tr>
      <w:tr w:rsidR="008D2B0A" w:rsidTr="000703F4">
        <w:trPr>
          <w:trHeight w:val="518"/>
          <w:jc w:val="center"/>
        </w:trPr>
        <w:tc>
          <w:tcPr>
            <w:tcW w:w="7202" w:type="dxa"/>
            <w:gridSpan w:val="2"/>
            <w:vMerge w:val="restart"/>
          </w:tcPr>
          <w:p w:rsidR="008D2B0A" w:rsidRDefault="008D2B0A" w:rsidP="008D2B0A">
            <w:pPr>
              <w:rPr>
                <w:b/>
              </w:rPr>
            </w:pPr>
            <w:r>
              <w:rPr>
                <w:b/>
              </w:rPr>
              <w:t>Decision/Action:</w:t>
            </w:r>
          </w:p>
          <w:p w:rsidR="008D2B0A" w:rsidRPr="007809A4" w:rsidRDefault="007809A4" w:rsidP="007809A4">
            <w:pPr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A large orange sticker was placed on the circumcision restraint board that reads “DID YOU GET CONSENT?</w:t>
            </w:r>
            <w:proofErr w:type="gramStart"/>
            <w:r>
              <w:rPr>
                <w:rFonts w:ascii="Comic Sans MS" w:hAnsi="Comic Sans MS"/>
                <w:color w:val="0000FF"/>
              </w:rPr>
              <w:t>”.</w:t>
            </w:r>
            <w:proofErr w:type="gramEnd"/>
            <w:r>
              <w:rPr>
                <w:rFonts w:ascii="Comic Sans MS" w:hAnsi="Comic Sans MS"/>
                <w:color w:val="0000FF"/>
              </w:rPr>
              <w:t xml:space="preserve"> The purpose of this is to prompt/remind staff when setting up for a circumcision to double check that consent had been obtained. </w:t>
            </w: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Pr="008D2B0A" w:rsidRDefault="008D2B0A" w:rsidP="008D2B0A">
            <w:pPr>
              <w:rPr>
                <w:b/>
              </w:rPr>
            </w:pPr>
          </w:p>
        </w:tc>
        <w:tc>
          <w:tcPr>
            <w:tcW w:w="1800" w:type="dxa"/>
          </w:tcPr>
          <w:p w:rsidR="008D2B0A" w:rsidRDefault="008D2B0A" w:rsidP="008D2B0A">
            <w:pPr>
              <w:rPr>
                <w:b/>
              </w:rPr>
            </w:pPr>
            <w:r>
              <w:rPr>
                <w:b/>
              </w:rPr>
              <w:t>Who:</w:t>
            </w:r>
          </w:p>
          <w:p w:rsidR="008D2B0A" w:rsidRPr="006B7312" w:rsidRDefault="007809A4" w:rsidP="008D2B0A">
            <w:pPr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M. McVey</w:t>
            </w:r>
          </w:p>
        </w:tc>
        <w:tc>
          <w:tcPr>
            <w:tcW w:w="1801" w:type="dxa"/>
          </w:tcPr>
          <w:p w:rsidR="008D2B0A" w:rsidRDefault="008D2B0A" w:rsidP="008D2B0A">
            <w:pPr>
              <w:rPr>
                <w:b/>
              </w:rPr>
            </w:pPr>
            <w:r>
              <w:rPr>
                <w:b/>
              </w:rPr>
              <w:t>When:</w:t>
            </w:r>
          </w:p>
          <w:p w:rsidR="008D2B0A" w:rsidRPr="00476B30" w:rsidRDefault="00476B30" w:rsidP="007809A4">
            <w:pPr>
              <w:rPr>
                <w:rFonts w:ascii="Comic Sans MS" w:hAnsi="Comic Sans MS"/>
                <w:color w:val="0000FF"/>
              </w:rPr>
            </w:pPr>
            <w:r w:rsidRPr="00476B30">
              <w:rPr>
                <w:rFonts w:ascii="Comic Sans MS" w:hAnsi="Comic Sans MS"/>
                <w:color w:val="0000FF"/>
              </w:rPr>
              <w:t>Implement</w:t>
            </w:r>
            <w:r w:rsidR="007809A4">
              <w:rPr>
                <w:rFonts w:ascii="Comic Sans MS" w:hAnsi="Comic Sans MS"/>
                <w:color w:val="0000FF"/>
              </w:rPr>
              <w:t xml:space="preserve"> 11/14/2018</w:t>
            </w:r>
          </w:p>
        </w:tc>
      </w:tr>
      <w:tr w:rsidR="008D2B0A" w:rsidTr="00871136">
        <w:trPr>
          <w:trHeight w:val="518"/>
          <w:jc w:val="center"/>
        </w:trPr>
        <w:tc>
          <w:tcPr>
            <w:tcW w:w="7202" w:type="dxa"/>
            <w:gridSpan w:val="2"/>
            <w:vMerge/>
          </w:tcPr>
          <w:p w:rsidR="008D2B0A" w:rsidRDefault="008D2B0A" w:rsidP="008D2B0A"/>
        </w:tc>
        <w:tc>
          <w:tcPr>
            <w:tcW w:w="3601" w:type="dxa"/>
            <w:gridSpan w:val="2"/>
          </w:tcPr>
          <w:p w:rsidR="007809A4" w:rsidRDefault="008D2B0A" w:rsidP="008D2B0A">
            <w:pPr>
              <w:rPr>
                <w:b/>
              </w:rPr>
            </w:pPr>
            <w:r>
              <w:rPr>
                <w:b/>
              </w:rPr>
              <w:t>Measure of Success:</w:t>
            </w:r>
          </w:p>
          <w:p w:rsidR="007809A4" w:rsidRDefault="007809A4" w:rsidP="008D2B0A">
            <w:pPr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Monitor consents for circumcisions.</w:t>
            </w:r>
          </w:p>
          <w:p w:rsidR="00476B30" w:rsidRPr="007809A4" w:rsidRDefault="007809A4" w:rsidP="008D2B0A">
            <w:pPr>
              <w:rPr>
                <w:b/>
              </w:rPr>
            </w:pPr>
            <w:r>
              <w:rPr>
                <w:rFonts w:ascii="Comic Sans MS" w:hAnsi="Comic Sans MS"/>
                <w:color w:val="0000FF"/>
              </w:rPr>
              <w:t xml:space="preserve"> HIM staff will ensure all circ. Procedures have appropriate consent</w:t>
            </w:r>
            <w:r w:rsidR="00476B30">
              <w:rPr>
                <w:rFonts w:ascii="Comic Sans MS" w:hAnsi="Comic Sans MS"/>
                <w:color w:val="0000FF"/>
              </w:rPr>
              <w:t>.</w:t>
            </w:r>
            <w:r>
              <w:rPr>
                <w:rFonts w:ascii="Comic Sans MS" w:hAnsi="Comic Sans MS"/>
                <w:color w:val="0000FF"/>
              </w:rPr>
              <w:t xml:space="preserve"> </w:t>
            </w:r>
            <w:r w:rsidR="00476B30">
              <w:rPr>
                <w:rFonts w:ascii="Comic Sans MS" w:hAnsi="Comic Sans MS"/>
                <w:color w:val="0000FF"/>
              </w:rPr>
              <w:t xml:space="preserve"> </w:t>
            </w:r>
            <w:r>
              <w:rPr>
                <w:rFonts w:ascii="Comic Sans MS" w:hAnsi="Comic Sans MS"/>
                <w:color w:val="0000FF"/>
              </w:rPr>
              <w:t xml:space="preserve">Compliance QA data will be reviewed monthly until 90 consecutive days of compliance </w:t>
            </w:r>
            <w:proofErr w:type="gramStart"/>
            <w:r>
              <w:rPr>
                <w:rFonts w:ascii="Comic Sans MS" w:hAnsi="Comic Sans MS"/>
                <w:color w:val="0000FF"/>
              </w:rPr>
              <w:t>are</w:t>
            </w:r>
            <w:proofErr w:type="gramEnd"/>
            <w:r>
              <w:rPr>
                <w:rFonts w:ascii="Comic Sans MS" w:hAnsi="Comic Sans MS"/>
                <w:color w:val="0000FF"/>
              </w:rPr>
              <w:t xml:space="preserve"> achieved. Data to be reviewed monthly with front-line nursing staff. </w:t>
            </w: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Pr="007809A4" w:rsidRDefault="007809A4" w:rsidP="007809A4">
            <w:pPr>
              <w:ind w:left="18"/>
              <w:rPr>
                <w:b/>
              </w:rPr>
            </w:pPr>
            <w:r w:rsidRPr="007809A4">
              <w:rPr>
                <w:b/>
                <w:color w:val="0000FF"/>
                <w:sz w:val="40"/>
                <w:szCs w:val="40"/>
              </w:rPr>
              <w:t>X</w:t>
            </w:r>
            <w:r>
              <w:rPr>
                <w:b/>
                <w:color w:val="0000FF"/>
                <w:sz w:val="40"/>
                <w:szCs w:val="40"/>
              </w:rPr>
              <w:t xml:space="preserve"> </w:t>
            </w:r>
            <w:r w:rsidR="006C428F">
              <w:t>Add to Departmental QA Calendar</w:t>
            </w:r>
          </w:p>
        </w:tc>
      </w:tr>
      <w:tr w:rsidR="006C428F" w:rsidTr="006C428F">
        <w:trPr>
          <w:trHeight w:val="518"/>
          <w:jc w:val="center"/>
        </w:trPr>
        <w:tc>
          <w:tcPr>
            <w:tcW w:w="10803" w:type="dxa"/>
            <w:gridSpan w:val="4"/>
            <w:tcBorders>
              <w:bottom w:val="single" w:sz="4" w:space="0" w:color="auto"/>
            </w:tcBorders>
          </w:tcPr>
          <w:p w:rsidR="006C428F" w:rsidRPr="006C428F" w:rsidRDefault="006C428F" w:rsidP="008D2B0A">
            <w:pPr>
              <w:rPr>
                <w:i/>
              </w:rPr>
            </w:pPr>
            <w:r>
              <w:rPr>
                <w:b/>
              </w:rPr>
              <w:t xml:space="preserve">Notification of Action/Change: </w:t>
            </w:r>
            <w:r>
              <w:rPr>
                <w:i/>
              </w:rPr>
              <w:t>(photocopy or email copies to)</w:t>
            </w:r>
          </w:p>
          <w:p w:rsidR="006C428F" w:rsidRPr="006C428F" w:rsidRDefault="006C428F" w:rsidP="006C428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All department employees</w:t>
            </w:r>
          </w:p>
          <w:p w:rsidR="006C428F" w:rsidRPr="006C428F" w:rsidRDefault="006C428F" w:rsidP="006C428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Department Manager</w:t>
            </w:r>
          </w:p>
          <w:p w:rsidR="006C428F" w:rsidRPr="006C428F" w:rsidRDefault="006C428F" w:rsidP="006C428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Stacy Augustyn, Chief Quality and Compliance Officer</w:t>
            </w:r>
          </w:p>
          <w:p w:rsidR="006C428F" w:rsidRPr="006C428F" w:rsidRDefault="006C428F" w:rsidP="006C428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Other:</w:t>
            </w:r>
            <w:r w:rsidR="006B7312">
              <w:t xml:space="preserve"> </w:t>
            </w:r>
          </w:p>
          <w:p w:rsidR="006C428F" w:rsidRPr="006C428F" w:rsidRDefault="006C428F" w:rsidP="006C428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Other:</w:t>
            </w:r>
          </w:p>
          <w:p w:rsidR="006C428F" w:rsidRPr="006C428F" w:rsidRDefault="006C428F" w:rsidP="006C428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Other:</w:t>
            </w:r>
          </w:p>
        </w:tc>
      </w:tr>
      <w:tr w:rsidR="006C428F" w:rsidTr="006C428F">
        <w:trPr>
          <w:trHeight w:val="518"/>
          <w:jc w:val="center"/>
        </w:trPr>
        <w:tc>
          <w:tcPr>
            <w:tcW w:w="10803" w:type="dxa"/>
            <w:gridSpan w:val="4"/>
            <w:tcBorders>
              <w:bottom w:val="single" w:sz="4" w:space="0" w:color="auto"/>
            </w:tcBorders>
          </w:tcPr>
          <w:p w:rsidR="006C428F" w:rsidRDefault="006C428F" w:rsidP="006C428F">
            <w:r w:rsidRPr="006C428F">
              <w:rPr>
                <w:b/>
              </w:rPr>
              <w:t>Management Acknowledgement</w:t>
            </w:r>
            <w:r>
              <w:t xml:space="preserve"> :</w:t>
            </w:r>
          </w:p>
          <w:p w:rsidR="006C428F" w:rsidRDefault="006C428F" w:rsidP="006C428F"/>
          <w:p w:rsidR="006C428F" w:rsidRDefault="0076730C" w:rsidP="006C428F">
            <w:r w:rsidRPr="0076730C"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.25pt;margin-top:11.95pt;width:337.5pt;height:0;z-index:251658240" o:connectortype="straight" strokeweight="1.5pt"/>
              </w:pict>
            </w:r>
          </w:p>
          <w:p w:rsidR="006C428F" w:rsidRPr="0018793E" w:rsidRDefault="006C428F" w:rsidP="006C428F">
            <w:pPr>
              <w:rPr>
                <w:i/>
              </w:rPr>
            </w:pPr>
            <w:r>
              <w:rPr>
                <w:i/>
              </w:rPr>
              <w:t>Signature/Date</w:t>
            </w:r>
          </w:p>
        </w:tc>
      </w:tr>
    </w:tbl>
    <w:p w:rsidR="008D2B0A" w:rsidRDefault="008D2B0A" w:rsidP="008D2B0A">
      <w:pPr>
        <w:spacing w:after="0"/>
      </w:pPr>
    </w:p>
    <w:sectPr w:rsidR="008D2B0A" w:rsidSect="003052D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2CA" w:rsidRDefault="00BC42CA" w:rsidP="0018793E">
      <w:pPr>
        <w:spacing w:after="0" w:line="240" w:lineRule="auto"/>
      </w:pPr>
      <w:r>
        <w:separator/>
      </w:r>
    </w:p>
  </w:endnote>
  <w:endnote w:type="continuationSeparator" w:id="0">
    <w:p w:rsidR="00BC42CA" w:rsidRDefault="00BC42CA" w:rsidP="0018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93E" w:rsidRPr="0018793E" w:rsidRDefault="0018793E" w:rsidP="0018793E">
    <w:pPr>
      <w:pStyle w:val="Header"/>
      <w:jc w:val="center"/>
      <w:rPr>
        <w:rFonts w:cstheme="minorHAnsi"/>
        <w:i/>
        <w:sz w:val="20"/>
        <w:szCs w:val="20"/>
      </w:rPr>
    </w:pPr>
    <w:r w:rsidRPr="0018793E">
      <w:rPr>
        <w:rFonts w:cstheme="minorHAnsi"/>
        <w:i/>
        <w:sz w:val="20"/>
        <w:szCs w:val="20"/>
      </w:rPr>
      <w:t>Departmental Quality Assurance and Performance Improvement</w:t>
    </w:r>
  </w:p>
  <w:p w:rsidR="0018793E" w:rsidRPr="00D97670" w:rsidRDefault="0018793E" w:rsidP="0018793E">
    <w:pPr>
      <w:pStyle w:val="Header"/>
      <w:jc w:val="center"/>
      <w:rPr>
        <w:rFonts w:cstheme="minorHAnsi"/>
        <w:b/>
        <w:sz w:val="16"/>
        <w:szCs w:val="16"/>
      </w:rPr>
    </w:pPr>
    <w:r w:rsidRPr="0018793E">
      <w:rPr>
        <w:rFonts w:cstheme="minorHAnsi"/>
        <w:i/>
        <w:sz w:val="20"/>
        <w:szCs w:val="20"/>
      </w:rPr>
      <w:t>Confidential Pursuant to KSA 65-4915 and 65-4921 et. seq</w:t>
    </w:r>
    <w:r w:rsidRPr="00D97670">
      <w:rPr>
        <w:rFonts w:cstheme="minorHAnsi"/>
        <w:b/>
        <w:sz w:val="16"/>
        <w:szCs w:val="16"/>
      </w:rPr>
      <w:t>.</w:t>
    </w:r>
  </w:p>
  <w:p w:rsidR="0018793E" w:rsidRDefault="001879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2CA" w:rsidRDefault="00BC42CA" w:rsidP="0018793E">
      <w:pPr>
        <w:spacing w:after="0" w:line="240" w:lineRule="auto"/>
      </w:pPr>
      <w:r>
        <w:separator/>
      </w:r>
    </w:p>
  </w:footnote>
  <w:footnote w:type="continuationSeparator" w:id="0">
    <w:p w:rsidR="00BC42CA" w:rsidRDefault="00BC42CA" w:rsidP="00187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16B2"/>
    <w:multiLevelType w:val="hybridMultilevel"/>
    <w:tmpl w:val="BBAEA9B0"/>
    <w:lvl w:ilvl="0" w:tplc="63B47AAE">
      <w:numFmt w:val="bullet"/>
      <w:lvlText w:val=""/>
      <w:lvlJc w:val="left"/>
      <w:pPr>
        <w:ind w:left="37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>
    <w:nsid w:val="3C8A4838"/>
    <w:multiLevelType w:val="hybridMultilevel"/>
    <w:tmpl w:val="5B04238C"/>
    <w:lvl w:ilvl="0" w:tplc="63B47AA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41523"/>
    <w:multiLevelType w:val="hybridMultilevel"/>
    <w:tmpl w:val="25E8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74D39"/>
    <w:multiLevelType w:val="hybridMultilevel"/>
    <w:tmpl w:val="7AD85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D3218"/>
    <w:multiLevelType w:val="hybridMultilevel"/>
    <w:tmpl w:val="876A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31837"/>
    <w:multiLevelType w:val="hybridMultilevel"/>
    <w:tmpl w:val="593E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B3ED0"/>
    <w:multiLevelType w:val="hybridMultilevel"/>
    <w:tmpl w:val="16C283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B0A"/>
    <w:rsid w:val="0018793E"/>
    <w:rsid w:val="002A7B0E"/>
    <w:rsid w:val="002B4322"/>
    <w:rsid w:val="003052D0"/>
    <w:rsid w:val="003827E0"/>
    <w:rsid w:val="00476B30"/>
    <w:rsid w:val="00593CB6"/>
    <w:rsid w:val="006B7312"/>
    <w:rsid w:val="006C428F"/>
    <w:rsid w:val="0076730C"/>
    <w:rsid w:val="007809A4"/>
    <w:rsid w:val="008D2B0A"/>
    <w:rsid w:val="00BC42CA"/>
    <w:rsid w:val="00C36FF8"/>
    <w:rsid w:val="00D40031"/>
    <w:rsid w:val="00DF677C"/>
    <w:rsid w:val="00EC6212"/>
    <w:rsid w:val="00EC6816"/>
    <w:rsid w:val="00ED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2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428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87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8793E"/>
  </w:style>
  <w:style w:type="paragraph" w:styleId="Footer">
    <w:name w:val="footer"/>
    <w:basedOn w:val="Normal"/>
    <w:link w:val="FooterChar"/>
    <w:uiPriority w:val="99"/>
    <w:semiHidden/>
    <w:unhideWhenUsed/>
    <w:rsid w:val="00187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793E"/>
  </w:style>
  <w:style w:type="paragraph" w:styleId="BalloonText">
    <w:name w:val="Balloon Text"/>
    <w:basedOn w:val="Normal"/>
    <w:link w:val="BalloonTextChar"/>
    <w:uiPriority w:val="99"/>
    <w:semiHidden/>
    <w:unhideWhenUsed/>
    <w:rsid w:val="00187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saugustyn</dc:creator>
  <cp:lastModifiedBy>saugustyn</cp:lastModifiedBy>
  <cp:revision>2</cp:revision>
  <dcterms:created xsi:type="dcterms:W3CDTF">2019-08-21T15:19:00Z</dcterms:created>
  <dcterms:modified xsi:type="dcterms:W3CDTF">2019-08-21T15:19:00Z</dcterms:modified>
</cp:coreProperties>
</file>